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70482" w:rsidRPr="0091019F">
        <w:trPr>
          <w:trHeight w:hRule="exact" w:val="1528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30.08.2021 №94.</w:t>
            </w:r>
          </w:p>
        </w:tc>
      </w:tr>
      <w:tr w:rsidR="00570482" w:rsidRPr="0091019F">
        <w:trPr>
          <w:trHeight w:hRule="exact" w:val="138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70482" w:rsidRPr="0091019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570482" w:rsidRPr="0091019F">
        <w:trPr>
          <w:trHeight w:hRule="exact" w:val="211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277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70482">
        <w:trPr>
          <w:trHeight w:hRule="exact" w:val="138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1277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  <w:tc>
          <w:tcPr>
            <w:tcW w:w="2836" w:type="dxa"/>
          </w:tcPr>
          <w:p w:rsidR="00570482" w:rsidRDefault="00570482"/>
        </w:tc>
      </w:tr>
      <w:tr w:rsidR="00570482" w:rsidRPr="0091019F">
        <w:trPr>
          <w:trHeight w:hRule="exact" w:val="277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1277" w:type="dxa"/>
          </w:tcPr>
          <w:p w:rsidR="00570482" w:rsidRDefault="0057048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570482" w:rsidRPr="0091019F">
        <w:trPr>
          <w:trHeight w:hRule="exact" w:val="138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277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70482">
        <w:trPr>
          <w:trHeight w:hRule="exact" w:val="138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1277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  <w:tc>
          <w:tcPr>
            <w:tcW w:w="2836" w:type="dxa"/>
          </w:tcPr>
          <w:p w:rsidR="00570482" w:rsidRDefault="00570482"/>
        </w:tc>
      </w:tr>
      <w:tr w:rsidR="00570482">
        <w:trPr>
          <w:trHeight w:hRule="exact" w:val="277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1277" w:type="dxa"/>
          </w:tcPr>
          <w:p w:rsidR="00570482" w:rsidRDefault="0057048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70482">
        <w:trPr>
          <w:trHeight w:hRule="exact" w:val="277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1277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  <w:tc>
          <w:tcPr>
            <w:tcW w:w="2836" w:type="dxa"/>
          </w:tcPr>
          <w:p w:rsidR="00570482" w:rsidRDefault="00570482"/>
        </w:tc>
      </w:tr>
      <w:tr w:rsidR="0057048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70482" w:rsidRPr="0091019F">
        <w:trPr>
          <w:trHeight w:hRule="exact" w:val="1135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Информационная политика организации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К.М.04.ДВ.01.02</w:t>
            </w: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70482" w:rsidRPr="009B2024">
        <w:trPr>
          <w:trHeight w:hRule="exact" w:val="1389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«Экономика и управление на предприятии»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70482" w:rsidRPr="009B2024">
        <w:trPr>
          <w:trHeight w:hRule="exact" w:val="138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B202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570482" w:rsidRPr="009B2024">
        <w:trPr>
          <w:trHeight w:hRule="exact" w:val="416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1277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  <w:tc>
          <w:tcPr>
            <w:tcW w:w="2836" w:type="dxa"/>
          </w:tcPr>
          <w:p w:rsidR="00570482" w:rsidRDefault="00570482"/>
        </w:tc>
      </w:tr>
      <w:tr w:rsidR="00570482">
        <w:trPr>
          <w:trHeight w:hRule="exact" w:val="155"/>
        </w:trPr>
        <w:tc>
          <w:tcPr>
            <w:tcW w:w="143" w:type="dxa"/>
          </w:tcPr>
          <w:p w:rsidR="00570482" w:rsidRDefault="00570482"/>
        </w:tc>
        <w:tc>
          <w:tcPr>
            <w:tcW w:w="285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1419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1277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  <w:tc>
          <w:tcPr>
            <w:tcW w:w="2836" w:type="dxa"/>
          </w:tcPr>
          <w:p w:rsidR="00570482" w:rsidRDefault="00570482"/>
        </w:tc>
      </w:tr>
      <w:tr w:rsidR="0057048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57048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70482" w:rsidRPr="0091019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570482" w:rsidRPr="0091019F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124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B202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570482" w:rsidRPr="009B2024">
        <w:trPr>
          <w:trHeight w:hRule="exact" w:val="577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B2024">
        <w:trPr>
          <w:trHeight w:hRule="exact" w:val="1507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277"/>
        </w:trPr>
        <w:tc>
          <w:tcPr>
            <w:tcW w:w="143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70482">
        <w:trPr>
          <w:trHeight w:hRule="exact" w:val="138"/>
        </w:trPr>
        <w:tc>
          <w:tcPr>
            <w:tcW w:w="143" w:type="dxa"/>
          </w:tcPr>
          <w:p w:rsidR="00570482" w:rsidRDefault="0057048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570482"/>
        </w:tc>
      </w:tr>
      <w:tr w:rsidR="00570482">
        <w:trPr>
          <w:trHeight w:hRule="exact" w:val="1666"/>
        </w:trPr>
        <w:tc>
          <w:tcPr>
            <w:tcW w:w="143" w:type="dxa"/>
          </w:tcPr>
          <w:p w:rsidR="00570482" w:rsidRDefault="0057048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570482" w:rsidRPr="009B2024" w:rsidRDefault="005704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70482" w:rsidRPr="009B2024" w:rsidRDefault="005704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70482" w:rsidRDefault="009B2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7048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70482" w:rsidRPr="009B2024" w:rsidRDefault="005704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/Кузнецова Е.К./</w:t>
            </w:r>
          </w:p>
          <w:p w:rsidR="00570482" w:rsidRPr="009B2024" w:rsidRDefault="005704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70482" w:rsidRPr="0091019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 w:rsidP="009101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  <w:bookmarkStart w:id="0" w:name="_GoBack"/>
            <w:bookmarkEnd w:id="0"/>
          </w:p>
        </w:tc>
      </w:tr>
    </w:tbl>
    <w:p w:rsidR="00570482" w:rsidRPr="009B2024" w:rsidRDefault="009B2024">
      <w:pPr>
        <w:rPr>
          <w:sz w:val="0"/>
          <w:szCs w:val="0"/>
          <w:lang w:val="ru-RU"/>
        </w:rPr>
      </w:pPr>
      <w:r w:rsidRPr="009B2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70482">
        <w:trPr>
          <w:trHeight w:hRule="exact" w:val="555"/>
        </w:trPr>
        <w:tc>
          <w:tcPr>
            <w:tcW w:w="9640" w:type="dxa"/>
          </w:tcPr>
          <w:p w:rsidR="00570482" w:rsidRDefault="00570482"/>
        </w:tc>
      </w:tr>
      <w:tr w:rsidR="0057048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70482" w:rsidRDefault="009B2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 w:rsidRPr="0091019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70482" w:rsidRPr="0091019F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2021/2022 учебный год, утвержденным приказом ректора от 30.08.2021 №94;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«Информационная политика организации» в течение 2021/2022 учебного года: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570482" w:rsidRPr="0091019F">
        <w:trPr>
          <w:trHeight w:hRule="exact" w:val="138"/>
        </w:trPr>
        <w:tc>
          <w:tcPr>
            <w:tcW w:w="964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К.М.04.ДВ.01.02 «Информационная</w:t>
            </w:r>
          </w:p>
        </w:tc>
      </w:tr>
    </w:tbl>
    <w:p w:rsidR="00570482" w:rsidRPr="009B2024" w:rsidRDefault="009B2024">
      <w:pPr>
        <w:rPr>
          <w:sz w:val="0"/>
          <w:szCs w:val="0"/>
          <w:lang w:val="ru-RU"/>
        </w:rPr>
      </w:pPr>
      <w:r w:rsidRPr="009B2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 w:rsidRPr="0091019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политика организации».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70482" w:rsidRPr="0091019F">
        <w:trPr>
          <w:trHeight w:hRule="exact" w:val="138"/>
        </w:trPr>
        <w:tc>
          <w:tcPr>
            <w:tcW w:w="964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«Информационная политика организации»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70482" w:rsidRPr="0091019F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разработке методической и нормативной базы системы управления рисками и принципов управления рисками, оказания методической помощи и поддержки процесса управления рисками для ответственных за риск сотрудников организации в рамках отдельных бизнес-процессов и функциональных направлений</w:t>
            </w:r>
          </w:p>
        </w:tc>
      </w:tr>
      <w:tr w:rsidR="005704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0482" w:rsidRPr="0091019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нормативные документы системы управления рисками</w:t>
            </w:r>
          </w:p>
        </w:tc>
      </w:tr>
      <w:tr w:rsidR="00570482" w:rsidRPr="0091019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знать методы установления деловых контактов, связей, отношений с сотрудниками компании, с заинтересованными сторонами по вопросам управления рисками, методы проведения интервью с ответственными за риск работниками</w:t>
            </w:r>
          </w:p>
        </w:tc>
      </w:tr>
      <w:tr w:rsidR="00570482" w:rsidRPr="0091019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устанавливать и поддерживать деловые контакты, связи, отношения с сотрудниками компании, с заинтересованными сторонами по вопросам управления рисками</w:t>
            </w:r>
          </w:p>
        </w:tc>
      </w:tr>
      <w:tr w:rsidR="00570482" w:rsidRPr="0091019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проводить интервью с ответственными за риск работниками</w:t>
            </w:r>
          </w:p>
        </w:tc>
      </w:tr>
      <w:tr w:rsidR="00570482" w:rsidRPr="0091019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владеть навыками оказания помощи сотрудникам в выявлении и оценке новых рисков</w:t>
            </w:r>
          </w:p>
        </w:tc>
      </w:tr>
      <w:tr w:rsidR="00570482" w:rsidRPr="0091019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навыками представления аналитической информации о рисках руководителю подразделения и ответственным за мероприятия по рискам работникам</w:t>
            </w:r>
          </w:p>
        </w:tc>
      </w:tr>
      <w:tr w:rsidR="00570482" w:rsidRPr="0091019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ПК-4.19 владеть навыками обеспечения  информацией текущего управления рисками на постоянной основе; методами взаимодействия с заинтересованными сторонами по вопросам управления рисками</w:t>
            </w:r>
          </w:p>
        </w:tc>
      </w:tr>
      <w:tr w:rsidR="00570482" w:rsidRPr="0091019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ПК-4.20 владеть навыками проведения интервью с ответственными за риск работниками</w:t>
            </w:r>
          </w:p>
        </w:tc>
      </w:tr>
      <w:tr w:rsidR="00570482" w:rsidRPr="0091019F">
        <w:trPr>
          <w:trHeight w:hRule="exact" w:val="416"/>
        </w:trPr>
        <w:tc>
          <w:tcPr>
            <w:tcW w:w="964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70482" w:rsidRPr="0091019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К.М.04.ДВ.01.02 «Информационная политика организации»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"Методическая и нормативная база системы управления рисками"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</w:tbl>
    <w:p w:rsidR="00570482" w:rsidRPr="009B2024" w:rsidRDefault="009B2024">
      <w:pPr>
        <w:rPr>
          <w:sz w:val="0"/>
          <w:szCs w:val="0"/>
          <w:lang w:val="ru-RU"/>
        </w:rPr>
      </w:pPr>
      <w:r w:rsidRPr="009B2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70482" w:rsidRPr="0091019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7048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570482"/>
        </w:tc>
      </w:tr>
      <w:tr w:rsidR="00570482" w:rsidRPr="0091019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5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Модуль "Планирование, координирование и нормативное обеспечение интегрированной комплексной деятельности подразделений по управлению рисками организации"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Модуль "Эффективная коммуникация в управлении персоналом"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Мотивация и контроль эффективности работы сотрудников подразделений в сфере управления рисками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Финансовый риск-менеджмент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Интегрированный риск-менеджмент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((организационно-управленческая) практика 4)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Информационное обеспечение управления рисками</w:t>
            </w:r>
          </w:p>
          <w:p w:rsidR="00570482" w:rsidRDefault="009B2024">
            <w:pPr>
              <w:spacing w:after="0" w:line="240" w:lineRule="auto"/>
              <w:jc w:val="center"/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Методы оценки рисков. </w:t>
            </w:r>
            <w:r>
              <w:rPr>
                <w:rFonts w:ascii="Times New Roman" w:hAnsi="Times New Roman" w:cs="Times New Roman"/>
                <w:color w:val="000000"/>
              </w:rPr>
              <w:t>Международные стандарты риск- менеджмента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Модуль "Планирование, координирование и нормативное обеспечение интегрированной комплексной деятельности подразделений по управлению рисками организации"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Модуль "Эффективная коммуникация в управлении персоналом"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Мотивация и контроль эффективности работы сотрудников подразделений в сфере управления рисками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Финансовый риск-менеджмент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системы и технологии управления рисками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Модуль "Интегрированная система управления рисками"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Консалтинг в риск-менеджменте</w:t>
            </w:r>
          </w:p>
          <w:p w:rsidR="00570482" w:rsidRPr="009B2024" w:rsidRDefault="009B2024">
            <w:pPr>
              <w:spacing w:after="0" w:line="240" w:lineRule="auto"/>
              <w:jc w:val="center"/>
              <w:rPr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lang w:val="ru-RU"/>
              </w:rPr>
              <w:t>Риски в управлении персоналом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570482">
        <w:trPr>
          <w:trHeight w:hRule="exact" w:val="138"/>
        </w:trPr>
        <w:tc>
          <w:tcPr>
            <w:tcW w:w="3970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3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</w:tr>
      <w:tr w:rsidR="00570482" w:rsidRPr="0091019F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7048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70482">
        <w:trPr>
          <w:trHeight w:hRule="exact" w:val="138"/>
        </w:trPr>
        <w:tc>
          <w:tcPr>
            <w:tcW w:w="3970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3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70482">
        <w:trPr>
          <w:trHeight w:hRule="exact" w:val="416"/>
        </w:trPr>
        <w:tc>
          <w:tcPr>
            <w:tcW w:w="3970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3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</w:tr>
      <w:tr w:rsidR="005704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9</w:t>
            </w:r>
          </w:p>
        </w:tc>
      </w:tr>
      <w:tr w:rsidR="00570482">
        <w:trPr>
          <w:trHeight w:hRule="exact" w:val="277"/>
        </w:trPr>
        <w:tc>
          <w:tcPr>
            <w:tcW w:w="3970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3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</w:tr>
      <w:tr w:rsidR="0057048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70482" w:rsidRPr="009B2024" w:rsidRDefault="005704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70482">
        <w:trPr>
          <w:trHeight w:hRule="exact" w:val="416"/>
        </w:trPr>
        <w:tc>
          <w:tcPr>
            <w:tcW w:w="3970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1702" w:type="dxa"/>
          </w:tcPr>
          <w:p w:rsidR="00570482" w:rsidRDefault="00570482"/>
        </w:tc>
        <w:tc>
          <w:tcPr>
            <w:tcW w:w="426" w:type="dxa"/>
          </w:tcPr>
          <w:p w:rsidR="00570482" w:rsidRDefault="00570482"/>
        </w:tc>
        <w:tc>
          <w:tcPr>
            <w:tcW w:w="710" w:type="dxa"/>
          </w:tcPr>
          <w:p w:rsidR="00570482" w:rsidRDefault="00570482"/>
        </w:tc>
        <w:tc>
          <w:tcPr>
            <w:tcW w:w="143" w:type="dxa"/>
          </w:tcPr>
          <w:p w:rsidR="00570482" w:rsidRDefault="00570482"/>
        </w:tc>
        <w:tc>
          <w:tcPr>
            <w:tcW w:w="993" w:type="dxa"/>
          </w:tcPr>
          <w:p w:rsidR="00570482" w:rsidRDefault="00570482"/>
        </w:tc>
      </w:tr>
      <w:tr w:rsidR="005704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7048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0482" w:rsidRDefault="00570482"/>
        </w:tc>
      </w:tr>
      <w:tr w:rsidR="005704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информационного процесса управления риском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04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выявления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70482" w:rsidRDefault="009B2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704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оценки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04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704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04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04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реагирования на риски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04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704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048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5704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70482" w:rsidRPr="0091019F">
        <w:trPr>
          <w:trHeight w:hRule="exact" w:val="1298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</w:p>
        </w:tc>
      </w:tr>
    </w:tbl>
    <w:p w:rsidR="00570482" w:rsidRPr="009B2024" w:rsidRDefault="009B2024">
      <w:pPr>
        <w:rPr>
          <w:sz w:val="0"/>
          <w:szCs w:val="0"/>
          <w:lang w:val="ru-RU"/>
        </w:rPr>
      </w:pPr>
      <w:r w:rsidRPr="009B2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 w:rsidRPr="0091019F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704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704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70482" w:rsidRPr="0091019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информационного процесса управления риском</w:t>
            </w:r>
          </w:p>
        </w:tc>
      </w:tr>
      <w:tr w:rsidR="00570482" w:rsidRPr="0091019F">
        <w:trPr>
          <w:trHeight w:hRule="exact" w:val="28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  рисков  в  зависимости  от  особенностей  влияния  на  проект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(чистые  риски,  возможности,  бизнес-риски).  Ключевые  компетенции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руководителя  проекта  по  управлению  </w:t>
            </w:r>
            <w:r w:rsidRPr="00910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рисками  проекта. 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получения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о рисках.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ключевой компетенции руководителя проекта по управлению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  проекта,  необходимая  для  повышения  вероятности  и  степени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  положительных  составляющих  и  снижения  вероятности  и  степени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  негативных  составляющих  рисков.  Основные  риски  на  этапе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  объекта.  Разделение  рисков  на  известные  и  неизвестные.  Методы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  данных  о  рисках  (мозговой  штурм,  метод  Дельфи,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интервьюирование  участников  проекта,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анализ).  Понятие  миграции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рисков. Применения метода Дельфи для идентификации рисков.</w:t>
            </w:r>
          </w:p>
        </w:tc>
      </w:tr>
      <w:tr w:rsidR="005704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выявления риска</w:t>
            </w:r>
          </w:p>
        </w:tc>
      </w:tr>
      <w:tr w:rsidR="00570482" w:rsidRPr="0091019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выявлению риска; опросные листы; структурные диаграммы; карты потоков; прямая инспекция;анализ финансовой и управленческой отчетности.</w:t>
            </w:r>
          </w:p>
        </w:tc>
      </w:tr>
      <w:tr w:rsidR="005704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оценки риска</w:t>
            </w:r>
          </w:p>
        </w:tc>
      </w:tr>
      <w:tr w:rsidR="00570482" w:rsidRPr="0091019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качественного анализа рисков проекта. Методы количественного анализа рисков проекта.Методы реагирования на риски проекта</w:t>
            </w:r>
          </w:p>
        </w:tc>
      </w:tr>
      <w:tr w:rsidR="005704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70482">
        <w:trPr>
          <w:trHeight w:hRule="exact" w:val="146"/>
        </w:trPr>
        <w:tc>
          <w:tcPr>
            <w:tcW w:w="9640" w:type="dxa"/>
          </w:tcPr>
          <w:p w:rsidR="00570482" w:rsidRDefault="00570482"/>
        </w:tc>
      </w:tr>
      <w:tr w:rsidR="0057048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оценки риска</w:t>
            </w:r>
          </w:p>
        </w:tc>
      </w:tr>
      <w:tr w:rsidR="00570482">
        <w:trPr>
          <w:trHeight w:hRule="exact" w:val="21"/>
        </w:trPr>
        <w:tc>
          <w:tcPr>
            <w:tcW w:w="9640" w:type="dxa"/>
          </w:tcPr>
          <w:p w:rsidR="00570482" w:rsidRDefault="00570482"/>
        </w:tc>
      </w:tr>
      <w:tr w:rsidR="00570482">
        <w:trPr>
          <w:trHeight w:hRule="exact" w:val="3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 знаний  «управление  рисками  проекта».  Группа  процессов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«планирование»,  процесс  «качественный  анализ рисков». Стороны проекта,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влияют риски. Шкала оценки влияния рисков. Экспертная оценка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риска/  Метод  экспертных  оценок.  Построение  и  ведение  карт  рисков  на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экспертного анализа. Формирование, рассылка экспертам, заполнение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сбор  опросных  листов.  Проблемы  экспертных  оценок.  Составление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структурных  диаграмм.  Карты  потоков.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-анализ.  Метод  проектов-аналогов. Метод  построения  дерева  событий.  Метод  анализа  уместности затрат.  Применение метода  экспертного  опроса  для  оценки  риска</w:t>
            </w: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проекта.Основные  цели  количественного  анализа  рисков  проекта.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чувствительности  проектов.  Основные  инструменты  (анализ</w:t>
            </w:r>
          </w:p>
        </w:tc>
      </w:tr>
    </w:tbl>
    <w:p w:rsidR="00570482" w:rsidRDefault="009B2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чувствительности,  анализ  ожидаемой  денежной  величины,  метод  Монте-</w:t>
            </w: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Карло).</w:t>
            </w:r>
          </w:p>
        </w:tc>
      </w:tr>
      <w:tr w:rsidR="00570482">
        <w:trPr>
          <w:trHeight w:hRule="exact" w:val="8"/>
        </w:trPr>
        <w:tc>
          <w:tcPr>
            <w:tcW w:w="9640" w:type="dxa"/>
          </w:tcPr>
          <w:p w:rsidR="00570482" w:rsidRDefault="00570482"/>
        </w:tc>
      </w:tr>
      <w:tr w:rsidR="0057048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Концепции управления рисками</w:t>
            </w:r>
          </w:p>
        </w:tc>
      </w:tr>
      <w:tr w:rsidR="00570482">
        <w:trPr>
          <w:trHeight w:hRule="exact" w:val="21"/>
        </w:trPr>
        <w:tc>
          <w:tcPr>
            <w:tcW w:w="9640" w:type="dxa"/>
          </w:tcPr>
          <w:p w:rsidR="00570482" w:rsidRDefault="00570482"/>
        </w:tc>
      </w:tr>
      <w:tr w:rsidR="00570482" w:rsidRPr="0091019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управления рисками проекта. Основные цели планирования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рисками проекта. Основные разделы плана управления рисками.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разработки плана управления рисками. Управление рисками на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 фазах  жизненного  цикла  инвестиционного  проекта.  Организация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риск-менеджмента в компании.</w:t>
            </w:r>
          </w:p>
        </w:tc>
      </w:tr>
      <w:tr w:rsidR="00570482" w:rsidRPr="0091019F">
        <w:trPr>
          <w:trHeight w:hRule="exact" w:val="8"/>
        </w:trPr>
        <w:tc>
          <w:tcPr>
            <w:tcW w:w="964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реагирования на риски проекта</w:t>
            </w:r>
          </w:p>
        </w:tc>
      </w:tr>
      <w:tr w:rsidR="00570482" w:rsidRPr="0091019F">
        <w:trPr>
          <w:trHeight w:hRule="exact" w:val="21"/>
        </w:trPr>
        <w:tc>
          <w:tcPr>
            <w:tcW w:w="964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 стратегии  реагирования  (уклонение  от  риска,  передача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риска, снижение риска). Действия при реагировании на чистые риски (поиск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альтернативного  решения  срочное  изменение  плана  проекта,  анализ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множества  рисков,  отслеживание  риска).  Стратегии  реагирования  в  случае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позитивного  риска  (использование  риска,  совместное  использование  риска,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риска, принятие риска).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Избежание  (предупреждение  потенциального)  риска.  Отказ  от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ненадежных  партнеров  и  рискованных  проектов.  Критерии  допустимого риска. Избежание  риска.  Сокращение  степени  риска.  Разработка  плана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  по  снижению  возможного  ущерба  и  (или)  вероятности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 риска. Передача риска. Лимитирование концентрации риска.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 рисков.  Диверсификация  рисков.  Страхование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  рисков  и  его  виды.  Создание  и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резерва непредвиденных расходов и потерь проекта.</w:t>
            </w:r>
          </w:p>
        </w:tc>
      </w:tr>
      <w:tr w:rsidR="00570482" w:rsidRPr="0091019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5704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70482" w:rsidRPr="0091019F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«Информационная политика организации» / Кузнецова Е.К.. – Омск: Изд-во Омской гуманитарной академии, 2021.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70482" w:rsidRPr="0091019F">
        <w:trPr>
          <w:trHeight w:hRule="exact" w:val="138"/>
        </w:trPr>
        <w:tc>
          <w:tcPr>
            <w:tcW w:w="964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70482" w:rsidRPr="0091019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Шкурко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Гребенкин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978-5-534-05843-7.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hyperlink r:id="rId4" w:history="1">
              <w:r w:rsidR="0006140C">
                <w:rPr>
                  <w:rStyle w:val="a3"/>
                  <w:lang w:val="ru-RU"/>
                </w:rPr>
                <w:t>https://urait.ru/bcode/454911</w:t>
              </w:r>
            </w:hyperlink>
            <w:r w:rsidRPr="009B2024">
              <w:rPr>
                <w:lang w:val="ru-RU"/>
              </w:rPr>
              <w:t xml:space="preserve"> </w:t>
            </w:r>
          </w:p>
        </w:tc>
      </w:tr>
      <w:tr w:rsidR="0057048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978-5-534-11408-9.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06140C">
                <w:rPr>
                  <w:rStyle w:val="a3"/>
                </w:rPr>
                <w:t>https://urait.ru/bcode/457080</w:t>
              </w:r>
            </w:hyperlink>
            <w:r>
              <w:t xml:space="preserve"> </w:t>
            </w:r>
          </w:p>
        </w:tc>
      </w:tr>
    </w:tbl>
    <w:p w:rsidR="00570482" w:rsidRDefault="009B2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70482" w:rsidRPr="0091019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Воронцовский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485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978-5-534-12206-0.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hyperlink r:id="rId6" w:history="1">
              <w:r w:rsidR="0006140C">
                <w:rPr>
                  <w:rStyle w:val="a3"/>
                  <w:lang w:val="ru-RU"/>
                </w:rPr>
                <w:t>https://urait.ru/bcode/450664</w:t>
              </w:r>
            </w:hyperlink>
            <w:r w:rsidRPr="009B2024">
              <w:rPr>
                <w:lang w:val="ru-RU"/>
              </w:rPr>
              <w:t xml:space="preserve"> </w:t>
            </w:r>
          </w:p>
        </w:tc>
      </w:tr>
      <w:tr w:rsidR="00570482" w:rsidRPr="0091019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Вяткин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Маевский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978-5-9916-3502-8.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hyperlink r:id="rId7" w:history="1">
              <w:r w:rsidR="0006140C">
                <w:rPr>
                  <w:rStyle w:val="a3"/>
                  <w:lang w:val="ru-RU"/>
                </w:rPr>
                <w:t>https://urait.ru/bcode/450164</w:t>
              </w:r>
            </w:hyperlink>
            <w:r w:rsidRPr="009B2024">
              <w:rPr>
                <w:lang w:val="ru-RU"/>
              </w:rPr>
              <w:t xml:space="preserve"> </w:t>
            </w:r>
          </w:p>
        </w:tc>
      </w:tr>
      <w:tr w:rsidR="00570482">
        <w:trPr>
          <w:trHeight w:hRule="exact" w:val="277"/>
        </w:trPr>
        <w:tc>
          <w:tcPr>
            <w:tcW w:w="285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7048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978-5-534-02606-1.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06140C">
                <w:rPr>
                  <w:rStyle w:val="a3"/>
                </w:rPr>
                <w:t>https://urait.ru/bcode/451702</w:t>
              </w:r>
            </w:hyperlink>
            <w:r>
              <w:t xml:space="preserve"> </w:t>
            </w:r>
          </w:p>
        </w:tc>
      </w:tr>
      <w:tr w:rsidR="0057048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570482"/>
        </w:tc>
      </w:tr>
      <w:tr w:rsidR="0057048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978-5-534-02609-2.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06140C">
                <w:rPr>
                  <w:rStyle w:val="a3"/>
                </w:rPr>
                <w:t>https://urait.ru/bcode/451704</w:t>
              </w:r>
            </w:hyperlink>
            <w:r>
              <w:t xml:space="preserve"> </w:t>
            </w:r>
          </w:p>
        </w:tc>
      </w:tr>
      <w:tr w:rsidR="00570482" w:rsidRPr="0091019F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Нестеров,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978-5-4497-0300-2.</w:t>
            </w:r>
            <w:r w:rsidRPr="009B2024">
              <w:rPr>
                <w:lang w:val="ru-RU"/>
              </w:rPr>
              <w:t xml:space="preserve">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20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B2024">
              <w:rPr>
                <w:lang w:val="ru-RU"/>
              </w:rPr>
              <w:t xml:space="preserve"> </w:t>
            </w:r>
            <w:hyperlink r:id="rId10" w:history="1">
              <w:r w:rsidR="0006140C">
                <w:rPr>
                  <w:rStyle w:val="a3"/>
                  <w:lang w:val="ru-RU"/>
                </w:rPr>
                <w:t>http://www.iprbookshop.ru/89416.html</w:t>
              </w:r>
            </w:hyperlink>
            <w:r w:rsidRPr="009B2024">
              <w:rPr>
                <w:lang w:val="ru-RU"/>
              </w:rPr>
              <w:t xml:space="preserve"> </w:t>
            </w:r>
          </w:p>
        </w:tc>
      </w:tr>
      <w:tr w:rsidR="00570482" w:rsidRPr="0091019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70482" w:rsidRPr="0091019F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910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1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2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70482" w:rsidRPr="0091019F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</w:tbl>
    <w:p w:rsidR="00570482" w:rsidRPr="009B2024" w:rsidRDefault="009B2024">
      <w:pPr>
        <w:rPr>
          <w:sz w:val="0"/>
          <w:szCs w:val="0"/>
          <w:lang w:val="ru-RU"/>
        </w:rPr>
      </w:pPr>
      <w:r w:rsidRPr="009B2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 w:rsidRPr="0091019F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70482" w:rsidRPr="0091019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70482">
        <w:trPr>
          <w:trHeight w:hRule="exact" w:val="7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570482" w:rsidRDefault="009B20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 w:rsidRPr="0091019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Windows 10 Professional</w:t>
            </w:r>
          </w:p>
          <w:p w:rsidR="00570482" w:rsidRDefault="009B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70482" w:rsidRDefault="009B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70482" w:rsidRDefault="009B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70482" w:rsidRPr="009B2024" w:rsidRDefault="005704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4" w:history="1"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5" w:history="1"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704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9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70482" w:rsidRPr="0091019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0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70482" w:rsidRPr="009101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1" w:history="1">
              <w:r w:rsidR="0006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7048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Default="009B20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70482" w:rsidRPr="0091019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70482" w:rsidRPr="0091019F">
        <w:trPr>
          <w:trHeight w:hRule="exact" w:val="277"/>
        </w:trPr>
        <w:tc>
          <w:tcPr>
            <w:tcW w:w="9640" w:type="dxa"/>
          </w:tcPr>
          <w:p w:rsidR="00570482" w:rsidRPr="009B2024" w:rsidRDefault="00570482">
            <w:pPr>
              <w:rPr>
                <w:lang w:val="ru-RU"/>
              </w:rPr>
            </w:pPr>
          </w:p>
        </w:tc>
      </w:tr>
      <w:tr w:rsidR="00570482" w:rsidRPr="0091019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70482" w:rsidRPr="0091019F">
        <w:trPr>
          <w:trHeight w:hRule="exact" w:val="8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</w:t>
            </w:r>
          </w:p>
        </w:tc>
      </w:tr>
    </w:tbl>
    <w:p w:rsidR="00570482" w:rsidRPr="009B2024" w:rsidRDefault="009B2024">
      <w:pPr>
        <w:rPr>
          <w:sz w:val="0"/>
          <w:szCs w:val="0"/>
          <w:lang w:val="ru-RU"/>
        </w:rPr>
      </w:pPr>
      <w:r w:rsidRPr="009B2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 w:rsidRPr="0091019F">
        <w:trPr>
          <w:trHeight w:hRule="exact" w:val="132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2" w:history="1"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A5678" w:rsidRPr="0091019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570482" w:rsidRPr="009B2024" w:rsidRDefault="009B20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570482" w:rsidRPr="0091019F">
        <w:trPr>
          <w:trHeight w:hRule="exact" w:val="21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570482" w:rsidRPr="009B2024" w:rsidRDefault="009B2024">
      <w:pPr>
        <w:rPr>
          <w:sz w:val="0"/>
          <w:szCs w:val="0"/>
          <w:lang w:val="ru-RU"/>
        </w:rPr>
      </w:pPr>
      <w:r w:rsidRPr="009B20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0482" w:rsidRPr="0091019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3" w:history="1"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0482" w:rsidRPr="0091019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4" w:history="1"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570482" w:rsidRPr="0091019F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0482" w:rsidRPr="009B2024" w:rsidRDefault="009B20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35" w:history="1">
              <w:r w:rsidR="005A56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9B2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570482" w:rsidRPr="009B2024" w:rsidRDefault="00570482">
      <w:pPr>
        <w:rPr>
          <w:lang w:val="ru-RU"/>
        </w:rPr>
      </w:pPr>
    </w:p>
    <w:sectPr w:rsidR="00570482" w:rsidRPr="009B202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140C"/>
    <w:rsid w:val="001F0BC7"/>
    <w:rsid w:val="00570482"/>
    <w:rsid w:val="005A5678"/>
    <w:rsid w:val="0091019F"/>
    <w:rsid w:val="009B2024"/>
    <w:rsid w:val="00BF530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888EBF-8B2B-43D4-A74F-AA118856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6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1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president.kremlin.ru" TargetMode="External"/><Relationship Id="rId21" Type="http://schemas.openxmlformats.org/officeDocument/2006/relationships/hyperlink" Target="http://www.gks.ru" TargetMode="External"/><Relationship Id="rId34" Type="http://schemas.openxmlformats.org/officeDocument/2006/relationships/hyperlink" Target="http://www.biblio-online.ru," TargetMode="External"/><Relationship Id="rId7" Type="http://schemas.openxmlformats.org/officeDocument/2006/relationships/hyperlink" Target="https://urait.ru/bcode/45016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government.ru" TargetMode="External"/><Relationship Id="rId33" Type="http://schemas.openxmlformats.org/officeDocument/2006/relationships/hyperlink" Target="http://www.biblio-online.ru.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664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biblio-online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rait.ru/bcode/457080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fgosvo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89416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consultant.ru/edu/student/study/" TargetMode="External"/><Relationship Id="rId4" Type="http://schemas.openxmlformats.org/officeDocument/2006/relationships/hyperlink" Target="https://urait.ru/bcode/454911" TargetMode="External"/><Relationship Id="rId9" Type="http://schemas.openxmlformats.org/officeDocument/2006/relationships/hyperlink" Target="https://urait.ru/bcode/451704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biblio-online.ru," TargetMode="External"/><Relationship Id="rId8" Type="http://schemas.openxmlformats.org/officeDocument/2006/relationships/hyperlink" Target="https://urait.ru/bcode/4517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6358</Words>
  <Characters>36244</Characters>
  <Application>Microsoft Office Word</Application>
  <DocSecurity>0</DocSecurity>
  <Lines>302</Lines>
  <Paragraphs>85</Paragraphs>
  <ScaleCrop>false</ScaleCrop>
  <Company/>
  <LinksUpToDate>false</LinksUpToDate>
  <CharactersWithSpaces>42517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2021-2022_ФГОС3++2021_Бак-ОЗФО-Мен_(ЭиУП)(21)_plx_Информационная политика организации</dc:title>
  <dc:creator>FastReport.NET</dc:creator>
  <cp:lastModifiedBy>Базилжанова Анастасия Игоревна</cp:lastModifiedBy>
  <cp:revision>6</cp:revision>
  <dcterms:created xsi:type="dcterms:W3CDTF">2022-01-14T10:04:00Z</dcterms:created>
  <dcterms:modified xsi:type="dcterms:W3CDTF">2023-09-20T10:56:00Z</dcterms:modified>
</cp:coreProperties>
</file>